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ГНК-Инвест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«ГНК-Инвест» к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Рапаковой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«ГНК-Инвест»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№ </w:t>
      </w:r>
      <w:r>
        <w:rPr>
          <w:rStyle w:val="cat-UserDefinedgrp-2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заключенному 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ПАО Банк </w:t>
      </w:r>
      <w:r>
        <w:rPr>
          <w:rFonts w:ascii="Times New Roman" w:eastAsia="Times New Roman" w:hAnsi="Times New Roman" w:cs="Times New Roman"/>
          <w:sz w:val="26"/>
          <w:szCs w:val="26"/>
        </w:rPr>
        <w:t>Уралсиб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руб.; судебные расходы по уплате госпошлины в размере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0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1rplc-39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